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147D7">
        <w:rPr>
          <w:b/>
          <w:bCs/>
          <w:sz w:val="36"/>
          <w:szCs w:val="36"/>
        </w:rPr>
        <w:t>30</w:t>
      </w:r>
      <w:r w:rsidR="00E01017">
        <w:rPr>
          <w:b/>
          <w:bCs/>
          <w:sz w:val="36"/>
          <w:szCs w:val="36"/>
        </w:rPr>
        <w:t>/2023</w:t>
      </w:r>
    </w:p>
    <w:p w:rsidR="009579B5" w:rsidRDefault="00F16F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Autoria do Vereador: </w:t>
      </w:r>
      <w:r w:rsidR="00E01017">
        <w:rPr>
          <w:b/>
          <w:bCs/>
        </w:rPr>
        <w:t>ELVES DARLAN TIEFENSE LACERDA</w:t>
      </w:r>
      <w:r>
        <w:rPr>
          <w:b/>
          <w:bCs/>
        </w:rPr>
        <w:t xml:space="preserve">. </w:t>
      </w:r>
    </w:p>
    <w:p w:rsidR="000147D7" w:rsidRPr="000147D7" w:rsidRDefault="000147D7">
      <w:pPr>
        <w:pStyle w:val="Default"/>
        <w:spacing w:line="360" w:lineRule="auto"/>
        <w:jc w:val="both"/>
        <w:rPr>
          <w:b/>
          <w:bCs/>
        </w:rPr>
      </w:pPr>
    </w:p>
    <w:p w:rsidR="009579B5" w:rsidRDefault="00F16F2F" w:rsidP="000147D7">
      <w:pPr>
        <w:pStyle w:val="Default"/>
        <w:spacing w:line="360" w:lineRule="auto"/>
        <w:ind w:left="297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INDICA À EXMA. PREFEITA MUNICIPAL S</w:t>
      </w:r>
      <w:r w:rsidR="000147D7">
        <w:rPr>
          <w:b/>
          <w:bCs/>
          <w:i/>
          <w:iCs/>
        </w:rPr>
        <w:t>E</w:t>
      </w:r>
      <w:r>
        <w:rPr>
          <w:b/>
          <w:bCs/>
          <w:i/>
          <w:iCs/>
        </w:rPr>
        <w:t xml:space="preserve">NHORA ANA MARIA URQUIZA CASAGRANDE, A PREMENTE NECESSIDADE DE REALIZAR ESTUDO </w:t>
      </w:r>
      <w:r w:rsidR="000147D7">
        <w:rPr>
          <w:b/>
          <w:bCs/>
          <w:i/>
          <w:iCs/>
        </w:rPr>
        <w:t xml:space="preserve">DE </w:t>
      </w:r>
      <w:r w:rsidR="00E01017">
        <w:rPr>
          <w:b/>
          <w:bCs/>
          <w:i/>
          <w:iCs/>
        </w:rPr>
        <w:t>VIABILIDADE PARA IMPLANTAÇÃO DO PONTO DE ATENDIMENTO VIRTUAL DA RECEITA FEDERAL (PAV)</w:t>
      </w:r>
      <w:r>
        <w:rPr>
          <w:b/>
          <w:bCs/>
          <w:i/>
          <w:iCs/>
        </w:rPr>
        <w:t xml:space="preserve"> EM NOVA MARINGÁ/MT. </w:t>
      </w:r>
    </w:p>
    <w:p w:rsidR="009579B5" w:rsidRDefault="009579B5">
      <w:pPr>
        <w:pStyle w:val="Default"/>
        <w:spacing w:line="360" w:lineRule="auto"/>
        <w:jc w:val="both"/>
      </w:pPr>
    </w:p>
    <w:p w:rsidR="009579B5" w:rsidRDefault="00F16F2F" w:rsidP="000147D7">
      <w:pPr>
        <w:pStyle w:val="Default"/>
        <w:spacing w:line="360" w:lineRule="auto"/>
        <w:ind w:firstLine="2977"/>
        <w:jc w:val="both"/>
      </w:pPr>
      <w:r>
        <w:t xml:space="preserve">Com base no que preceitua o Regimento Interno da Câmara Municipal de Nova Maringá, Estado de Mato Grosso, requeiro à Mesa ouvido o Soberano Plenário, que o presente expediente seja encaminhado à Exma. Senhora Prefeita Municipal, visando o atendimento desta indicação. </w:t>
      </w:r>
    </w:p>
    <w:p w:rsidR="009579B5" w:rsidRDefault="009579B5">
      <w:pPr>
        <w:pStyle w:val="Default"/>
        <w:spacing w:line="360" w:lineRule="auto"/>
        <w:ind w:firstLine="2127"/>
        <w:jc w:val="both"/>
        <w:rPr>
          <w:b/>
          <w:bCs/>
        </w:rPr>
      </w:pPr>
    </w:p>
    <w:p w:rsidR="009579B5" w:rsidRDefault="00F16F2F" w:rsidP="000147D7">
      <w:pPr>
        <w:pStyle w:val="Default"/>
        <w:spacing w:line="360" w:lineRule="auto"/>
        <w:ind w:firstLine="2977"/>
        <w:jc w:val="both"/>
      </w:pPr>
      <w:r>
        <w:rPr>
          <w:b/>
          <w:bCs/>
        </w:rPr>
        <w:t xml:space="preserve">JUSTIFICATIVA </w:t>
      </w:r>
    </w:p>
    <w:p w:rsidR="009579B5" w:rsidRDefault="00F16F2F" w:rsidP="000147D7">
      <w:pPr>
        <w:pStyle w:val="Default"/>
        <w:spacing w:line="360" w:lineRule="auto"/>
        <w:ind w:firstLine="2977"/>
        <w:jc w:val="both"/>
      </w:pPr>
      <w:r>
        <w:rPr>
          <w:b/>
          <w:bCs/>
        </w:rPr>
        <w:t xml:space="preserve">Nobres Vereadores, </w:t>
      </w:r>
    </w:p>
    <w:p w:rsidR="00E01017" w:rsidRDefault="00F16F2F" w:rsidP="000147D7">
      <w:pPr>
        <w:pStyle w:val="Default"/>
        <w:spacing w:line="360" w:lineRule="auto"/>
        <w:ind w:firstLine="2977"/>
        <w:jc w:val="both"/>
      </w:pPr>
      <w:r>
        <w:t xml:space="preserve">A propositura em apreço tem por objetivo, de solicitar </w:t>
      </w:r>
      <w:r w:rsidR="00E01017">
        <w:t>e introduzir melhorias no que tange assistência social em diversos serviços da</w:t>
      </w:r>
      <w:r w:rsidR="000147D7">
        <w:t xml:space="preserve"> </w:t>
      </w:r>
      <w:r w:rsidR="00E01017">
        <w:t>Receita Federal, com objetivo de prestar para população serviços da Receita Federal do Brasil, em localidades desprovidas de atendimento presencial prestados pelo órgão, assim, evitando o deslocamento do cidadão até Capital ou outro Município com agência física.</w:t>
      </w:r>
    </w:p>
    <w:p w:rsidR="00E01017" w:rsidRDefault="00E01017" w:rsidP="000147D7">
      <w:pPr>
        <w:pStyle w:val="Default"/>
        <w:spacing w:line="360" w:lineRule="auto"/>
        <w:ind w:firstLine="2977"/>
        <w:jc w:val="both"/>
      </w:pPr>
      <w:r>
        <w:t>Ressalta-se com a implantação Ponto de Atendimento Virtual, poderão ser ofertados os seguintes serviços à população de Nova Maringá/MT: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33"/>
        <w:gridCol w:w="8155"/>
      </w:tblGrid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CAEPF - Inscrição, Baixa, Cancelamento ou Alteração de Dados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CAFIR - Inscrição, Alteração, Cancelamento ou Reativação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CNO - Inscrição, Alteração ou Anulação por Multiplicidade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Consulta Pendência Fiscal PF, PJ, Imóvel Rural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Consulta Pendência Malha Fiscal Pessoa Física 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Consulta Restituição e Situação DIRPF</w:t>
            </w:r>
            <w:r w:rsidR="003D4B6D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 (Declaração de Imposto de Renda PF)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Conversão de Processo Eletrônico para Digital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Cópia de Processo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Cópia Declaração e Recibos para Pessoa Física - DIRPF, DIRF Beneficiário e DITR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Cópia Declaração e Recibos - GFIP, </w:t>
            </w:r>
            <w:proofErr w:type="spellStart"/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Perdcomp</w:t>
            </w:r>
            <w:proofErr w:type="spellEnd"/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, Dacon, </w:t>
            </w:r>
            <w:proofErr w:type="spellStart"/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Dmed</w:t>
            </w:r>
            <w:proofErr w:type="spellEnd"/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CPF - Comprovante de Inscrição, Inscrição, Alteração e Regularização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Emissão de Documento de Arrecadação - DARF e GPS 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Impugnação, Recurso, Manifestação de Inconformidade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Juntada de Documentos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Procuração RFB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Protocolo de Documentos 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Protocolo de Documentos - Certidão de Obra 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Protocolo de Documentos - Certidão de Regularidade Fiscal 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 xml:space="preserve">Protocolo de Documentos - CNPJ - Inscrição, Alteração e Baixa </w:t>
            </w:r>
          </w:p>
        </w:tc>
      </w:tr>
      <w:tr w:rsidR="00E01017" w:rsidRPr="00E01017" w:rsidTr="00E0101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017" w:rsidRPr="00E01017" w:rsidRDefault="00E01017" w:rsidP="00E01017">
            <w:pPr>
              <w:ind w:left="10" w:right="3" w:hanging="10"/>
              <w:jc w:val="both"/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</w:pPr>
            <w:r w:rsidRPr="00E01017">
              <w:rPr>
                <w:rFonts w:ascii="Times New Roman" w:hAnsi="Times New Roman" w:cs="Times New Roman"/>
                <w:color w:val="000000"/>
                <w:kern w:val="0"/>
                <w:lang w:bidi="ar-SA"/>
              </w:rPr>
              <w:t>Protocolo de Documentos - Retificação de Documentos de Arrecadação - REDARF/RETGPS</w:t>
            </w:r>
          </w:p>
        </w:tc>
      </w:tr>
    </w:tbl>
    <w:p w:rsidR="00E01017" w:rsidRDefault="00E01017">
      <w:pPr>
        <w:pStyle w:val="Default"/>
        <w:spacing w:line="360" w:lineRule="auto"/>
        <w:ind w:firstLine="2127"/>
        <w:jc w:val="both"/>
      </w:pPr>
    </w:p>
    <w:p w:rsidR="009579B5" w:rsidRDefault="00F16F2F" w:rsidP="000147D7">
      <w:pPr>
        <w:pStyle w:val="Default"/>
        <w:spacing w:line="360" w:lineRule="auto"/>
        <w:ind w:firstLine="3119"/>
        <w:jc w:val="both"/>
        <w:rPr>
          <w:color w:val="auto"/>
        </w:rPr>
      </w:pPr>
      <w:r>
        <w:rPr>
          <w:color w:val="auto"/>
        </w:rPr>
        <w:t>Por fim, considerando a relevância do assunto, cont</w:t>
      </w:r>
      <w:r w:rsidR="000147D7">
        <w:rPr>
          <w:color w:val="auto"/>
        </w:rPr>
        <w:t>o</w:t>
      </w:r>
      <w:r>
        <w:rPr>
          <w:color w:val="auto"/>
        </w:rPr>
        <w:t xml:space="preserve"> com a apreciação positiva de Vossas Excelências e na colaboração do Poder Executivo quanto ao atendimento deste. </w:t>
      </w:r>
    </w:p>
    <w:p w:rsidR="009579B5" w:rsidRDefault="00F16F2F" w:rsidP="000147D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color w:val="auto"/>
        </w:rPr>
        <w:t xml:space="preserve">Sala das Sessões </w:t>
      </w:r>
      <w:r>
        <w:rPr>
          <w:b/>
          <w:bCs/>
          <w:color w:val="auto"/>
        </w:rPr>
        <w:t xml:space="preserve">“Carlos Manoel Martins Esteves”, </w:t>
      </w:r>
      <w:r w:rsidR="00E01017">
        <w:rPr>
          <w:color w:val="auto"/>
        </w:rPr>
        <w:t>17</w:t>
      </w:r>
      <w:r>
        <w:rPr>
          <w:color w:val="auto"/>
        </w:rPr>
        <w:t xml:space="preserve"> de </w:t>
      </w:r>
      <w:r w:rsidR="00E01017">
        <w:rPr>
          <w:color w:val="auto"/>
        </w:rPr>
        <w:t xml:space="preserve">abril </w:t>
      </w:r>
      <w:r>
        <w:rPr>
          <w:color w:val="auto"/>
        </w:rPr>
        <w:t>de 202</w:t>
      </w:r>
      <w:r w:rsidR="00E01017">
        <w:rPr>
          <w:color w:val="auto"/>
        </w:rPr>
        <w:t>3</w:t>
      </w:r>
      <w:r>
        <w:rPr>
          <w:color w:val="auto"/>
        </w:rPr>
        <w:t>.</w:t>
      </w:r>
    </w:p>
    <w:p w:rsidR="009579B5" w:rsidRDefault="009579B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0147D7" w:rsidRDefault="000147D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E01017" w:rsidRPr="000147D7" w:rsidRDefault="00E01017" w:rsidP="000147D7">
      <w:pPr>
        <w:widowControl/>
        <w:suppressAutoHyphens w:val="0"/>
        <w:autoSpaceDE w:val="0"/>
        <w:adjustRightInd w:val="0"/>
        <w:jc w:val="center"/>
        <w:textAlignment w:val="auto"/>
        <w:rPr>
          <w:rStyle w:val="Forte"/>
          <w:rFonts w:ascii="Times New Roman" w:eastAsia="Times New Roman" w:hAnsi="Times New Roman" w:cs="Times New Roman"/>
          <w:kern w:val="0"/>
          <w:lang w:eastAsia="pt-BR" w:bidi="ar-SA"/>
        </w:rPr>
      </w:pPr>
      <w:r w:rsidRPr="000147D7">
        <w:rPr>
          <w:rStyle w:val="Forte"/>
          <w:rFonts w:ascii="Times New Roman" w:eastAsia="Times New Roman" w:hAnsi="Times New Roman" w:cs="Times New Roman"/>
          <w:kern w:val="0"/>
          <w:lang w:eastAsia="pt-BR" w:bidi="ar-SA"/>
        </w:rPr>
        <w:t xml:space="preserve">ELVES DARLAN TIEFENSE LACERDA </w:t>
      </w:r>
    </w:p>
    <w:p w:rsidR="009579B5" w:rsidRPr="000147D7" w:rsidRDefault="00E01017" w:rsidP="000147D7">
      <w:pPr>
        <w:widowControl/>
        <w:suppressAutoHyphens w:val="0"/>
        <w:autoSpaceDE w:val="0"/>
        <w:adjustRightInd w:val="0"/>
        <w:jc w:val="center"/>
        <w:textAlignment w:val="auto"/>
        <w:rPr>
          <w:rStyle w:val="Forte"/>
          <w:rFonts w:ascii="Times New Roman" w:eastAsia="Times New Roman" w:hAnsi="Times New Roman" w:cs="Times New Roman"/>
          <w:b w:val="0"/>
          <w:bCs w:val="0"/>
          <w:kern w:val="0"/>
          <w:lang w:eastAsia="pt-BR" w:bidi="ar-SA"/>
        </w:rPr>
      </w:pPr>
      <w:r w:rsidRPr="000147D7">
        <w:rPr>
          <w:rStyle w:val="Forte"/>
          <w:rFonts w:ascii="Times New Roman" w:eastAsia="Times New Roman" w:hAnsi="Times New Roman" w:cs="Times New Roman"/>
          <w:b w:val="0"/>
          <w:bCs w:val="0"/>
          <w:kern w:val="0"/>
          <w:lang w:eastAsia="pt-BR" w:bidi="ar-SA"/>
        </w:rPr>
        <w:t>Vereador</w:t>
      </w:r>
    </w:p>
    <w:sectPr w:rsidR="009579B5" w:rsidRPr="00014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328B" w:rsidRDefault="002B328B">
      <w:pPr>
        <w:rPr>
          <w:rFonts w:hint="eastAsia"/>
        </w:rPr>
      </w:pPr>
      <w:r>
        <w:separator/>
      </w:r>
    </w:p>
  </w:endnote>
  <w:endnote w:type="continuationSeparator" w:id="0">
    <w:p w:rsidR="002B328B" w:rsidRDefault="002B32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8B" w:rsidRDefault="00506B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8B" w:rsidRDefault="00506B8B" w:rsidP="00506B8B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>
      <w:rPr>
        <w:sz w:val="18"/>
        <w:szCs w:val="18"/>
      </w:rPr>
      <w:t>Av. Amos Bernardino Zanchet, nº 248 – centro - Cep:78.440-000 – Nova Maringá /MT</w:t>
    </w:r>
  </w:p>
  <w:p w:rsidR="00506B8B" w:rsidRDefault="00506B8B" w:rsidP="00506B8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2E329E" w:rsidRDefault="00000000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8B" w:rsidRDefault="00506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328B" w:rsidRDefault="002B32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328B" w:rsidRDefault="002B32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8B" w:rsidRDefault="00506B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8B" w:rsidRDefault="00506B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1"/>
  </w:num>
  <w:num w:numId="2" w16cid:durableId="1209344030">
    <w:abstractNumId w:val="2"/>
  </w:num>
  <w:num w:numId="3" w16cid:durableId="33384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2B328B"/>
    <w:rsid w:val="003D4B6D"/>
    <w:rsid w:val="00506B8B"/>
    <w:rsid w:val="006005F3"/>
    <w:rsid w:val="009579B5"/>
    <w:rsid w:val="00E01017"/>
    <w:rsid w:val="00F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2022-11-23T15:06:00Z</cp:lastPrinted>
  <dcterms:created xsi:type="dcterms:W3CDTF">2023-04-18T12:26:00Z</dcterms:created>
  <dcterms:modified xsi:type="dcterms:W3CDTF">2023-04-25T14:11:00Z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